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r>
        <w:rPr>
          <w:rFonts w:cs="Arial"/>
          <w:b/>
          <w:bCs/>
          <w:iCs/>
          <w:szCs w:val="20"/>
        </w:rPr>
        <w:t>EG.D</w:t>
      </w:r>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r w:rsidRPr="00DA2C52">
        <w:rPr>
          <w:szCs w:val="20"/>
        </w:rPr>
        <w:t>č.ú.</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r w:rsidRPr="00DA2C52">
        <w:rPr>
          <w:szCs w:val="20"/>
        </w:rPr>
        <w:t>č.ú.</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7DC74ADD"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Dodávka profilových elektroměrů</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481D3D">
        <w:rPr>
          <w:rFonts w:ascii="Arial" w:hAnsi="Arial" w:cs="Arial"/>
          <w:b/>
          <w:color w:val="000000"/>
          <w:sz w:val="20"/>
          <w:szCs w:val="20"/>
        </w:rPr>
        <w:t xml:space="preserve">část </w:t>
      </w:r>
      <w:r w:rsidR="006843D2" w:rsidRPr="00481D3D">
        <w:rPr>
          <w:rFonts w:ascii="Arial" w:hAnsi="Arial" w:cs="Arial"/>
          <w:b/>
          <w:color w:val="000000"/>
          <w:sz w:val="20"/>
          <w:szCs w:val="20"/>
        </w:rPr>
        <w:t>A</w:t>
      </w:r>
      <w:r w:rsidR="009E14FE" w:rsidRPr="00481D3D">
        <w:rPr>
          <w:rFonts w:ascii="Arial" w:hAnsi="Arial" w:cs="Arial"/>
          <w:color w:val="000000"/>
          <w:sz w:val="20"/>
          <w:szCs w:val="20"/>
        </w:rPr>
        <w:t xml:space="preserve"> této</w:t>
      </w:r>
      <w:r w:rsidR="009E14FE" w:rsidRPr="009E14FE">
        <w:rPr>
          <w:rFonts w:ascii="Arial" w:hAnsi="Arial" w:cs="Arial"/>
          <w:color w:val="000000"/>
          <w:sz w:val="20"/>
          <w:szCs w:val="20"/>
        </w:rPr>
        <w:t xml:space="preserve">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5351BB">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r w:rsidRPr="00A76E5A">
        <w:rPr>
          <w:rFonts w:ascii="Arial" w:hAnsi="Arial" w:cs="Arial"/>
          <w:sz w:val="20"/>
          <w:szCs w:val="20"/>
        </w:rPr>
        <w:t xml:space="preserve">určí,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r w:rsidR="00203D25" w:rsidRPr="00513100">
        <w:rPr>
          <w:rFonts w:cs="Arial"/>
          <w:szCs w:val="20"/>
        </w:rPr>
        <w:t>vyjádří</w:t>
      </w:r>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10442BBE"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přílohu 2</w:t>
      </w:r>
      <w:r w:rsidR="00481D3D">
        <w:rPr>
          <w:rFonts w:cs="Arial"/>
          <w:szCs w:val="20"/>
          <w:u w:val="single"/>
        </w:rPr>
        <w:t>a</w:t>
      </w:r>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481D3D">
        <w:rPr>
          <w:rFonts w:cs="Arial"/>
          <w:szCs w:val="20"/>
          <w:u w:val="single"/>
        </w:rPr>
        <w:t>a</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xml:space="preserve">, (ii) touto </w:t>
      </w:r>
      <w:r w:rsidR="00925E9E" w:rsidRPr="00513100">
        <w:rPr>
          <w:rFonts w:cs="Arial"/>
          <w:szCs w:val="20"/>
        </w:rPr>
        <w:t>s</w:t>
      </w:r>
      <w:r w:rsidR="00F56691" w:rsidRPr="00513100">
        <w:rPr>
          <w:rFonts w:cs="Arial"/>
          <w:szCs w:val="20"/>
        </w:rPr>
        <w:t>mlouvou, (iii) nabídkou, kterou prodávající podal do zadávacího řízení, a jejíž podmínky a požadavky se tímto zavazuje dodržovat rovněž po celou dobu trvání této smlouvy, a (iv)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ust.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4C9E1E6B"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příloze 2</w:t>
      </w:r>
      <w:r w:rsidR="0079029B">
        <w:rPr>
          <w:rFonts w:ascii="Arial" w:hAnsi="Arial" w:cs="Arial"/>
          <w:sz w:val="20"/>
          <w:szCs w:val="20"/>
          <w:u w:val="single"/>
          <w:lang w:eastAsia="en-US"/>
        </w:rPr>
        <w:t>a</w:t>
      </w:r>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65FD291E" w14:textId="7C7207E9" w:rsidR="00C70EB3" w:rsidRPr="0085614F" w:rsidRDefault="00F6037D" w:rsidP="0085614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1350C">
        <w:rPr>
          <w:rFonts w:ascii="Arial" w:hAnsi="Arial" w:cs="Arial"/>
          <w:sz w:val="20"/>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ascii="Arial" w:hAnsi="Arial" w:cs="Arial"/>
          <w:sz w:val="20"/>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3C1F53FE" w14:textId="77777777" w:rsidR="00C70EB3" w:rsidRPr="00513100" w:rsidRDefault="00C70EB3" w:rsidP="00060B31">
      <w:pPr>
        <w:spacing w:line="280" w:lineRule="atLeast"/>
        <w:jc w:val="center"/>
        <w:rPr>
          <w:rFonts w:cs="Arial"/>
          <w:b/>
          <w:szCs w:val="20"/>
        </w:rPr>
      </w:pPr>
    </w:p>
    <w:p w14:paraId="18E606ED" w14:textId="77777777" w:rsidR="00C70EB3" w:rsidRPr="00513100" w:rsidRDefault="00C70EB3" w:rsidP="00060B31">
      <w:pPr>
        <w:spacing w:line="280" w:lineRule="atLeast"/>
        <w:jc w:val="center"/>
        <w:rPr>
          <w:rFonts w:cs="Arial"/>
          <w:b/>
          <w:szCs w:val="20"/>
        </w:rPr>
      </w:pPr>
      <w:r w:rsidRPr="00513100">
        <w:rPr>
          <w:rFonts w:cs="Arial"/>
          <w:b/>
          <w:szCs w:val="20"/>
        </w:rPr>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r w:rsidRPr="00513100">
        <w:rPr>
          <w:szCs w:val="20"/>
        </w:rPr>
        <w:t xml:space="preserve">Neurčí-li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r w:rsidR="00912BD9" w:rsidRPr="00513100">
        <w:rPr>
          <w:szCs w:val="20"/>
        </w:rPr>
        <w:t>neurčí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určí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 xml:space="preserve">nákladů na nevratné obaly, nákladů na odvoz vratných obalů, amortizace </w:t>
      </w:r>
      <w:r w:rsidR="00A930DD" w:rsidRPr="00513100">
        <w:lastRenderedPageBreak/>
        <w:t>vratných obalů</w:t>
      </w:r>
      <w:r w:rsidR="00995640" w:rsidRPr="00513100">
        <w:t>,</w:t>
      </w:r>
      <w:r w:rsidR="00ED017E" w:rsidRPr="00513100">
        <w:t xml:space="preserve"> </w:t>
      </w:r>
      <w:r w:rsidR="00995640" w:rsidRPr="00513100">
        <w:t xml:space="preserve">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EG.D, a.s. Faktury, P.O.Box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4799C04F"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sidR="00E70636">
        <w:rPr>
          <w:rFonts w:cs="Arial"/>
          <w:szCs w:val="20"/>
        </w:rPr>
        <w: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lastRenderedPageBreak/>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16</w:t>
      </w:r>
      <w:r w:rsidR="00967F1B" w:rsidRPr="004224FC">
        <w:rPr>
          <w:rFonts w:cs="Arial"/>
          <w:szCs w:val="20"/>
        </w:rPr>
        <w:t>-</w:t>
      </w:r>
      <w:r w:rsidRPr="004224FC">
        <w:rPr>
          <w:rFonts w:cs="Arial"/>
          <w:szCs w:val="20"/>
        </w:rPr>
        <w:t>ti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6281084C"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Vybraný 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bookmarkStart w:id="16" w:name="_Hlk118648920"/>
      <w:r w:rsidR="00B90D1A">
        <w:rPr>
          <w:rFonts w:ascii="Arial" w:hAnsi="Arial" w:cs="Arial"/>
          <w:color w:val="auto"/>
          <w:sz w:val="20"/>
        </w:rPr>
        <w:t>požadavku zadavatele na vybraného dodavatele</w:t>
      </w:r>
      <w:bookmarkEnd w:id="16"/>
      <w:r w:rsidR="00CE0165" w:rsidRPr="00A703B0">
        <w:rPr>
          <w:rFonts w:ascii="Arial" w:hAnsi="Arial" w:cs="Arial"/>
          <w:color w:val="auto"/>
          <w:sz w:val="20"/>
        </w:rPr>
        <w:t xml:space="preserve"> </w:t>
      </w:r>
      <w:r w:rsidR="00904EBB" w:rsidRPr="00A703B0">
        <w:rPr>
          <w:rFonts w:ascii="Arial" w:hAnsi="Arial" w:cs="Arial"/>
          <w:color w:val="auto"/>
          <w:sz w:val="20"/>
        </w:rPr>
        <w:t>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7"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ověří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8"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9" w:name="_Hlk519145771"/>
      <w:bookmarkEnd w:id="17"/>
      <w:bookmarkEnd w:id="18"/>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9"/>
    </w:p>
    <w:p w14:paraId="02CEB612" w14:textId="186B2B03" w:rsidR="0092536C" w:rsidRPr="00DE17E3" w:rsidRDefault="0092536C" w:rsidP="00530C08">
      <w:pPr>
        <w:pStyle w:val="Odstavecseseznamem"/>
        <w:numPr>
          <w:ilvl w:val="0"/>
          <w:numId w:val="4"/>
        </w:numPr>
        <w:spacing w:after="120" w:line="280" w:lineRule="atLeast"/>
        <w:jc w:val="both"/>
        <w:rPr>
          <w:szCs w:val="20"/>
        </w:rPr>
      </w:pPr>
      <w:bookmarkStart w:id="20" w:name="_Hlk510093444"/>
      <w:bookmarkStart w:id="21"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20"/>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3F4ADF">
        <w:rPr>
          <w:rFonts w:cs="Arial"/>
          <w:szCs w:val="20"/>
          <w:u w:val="single"/>
        </w:rPr>
        <w:t>a</w:t>
      </w:r>
      <w:r w:rsidRPr="00DE17E3">
        <w:rPr>
          <w:rFonts w:cs="Arial"/>
          <w:szCs w:val="20"/>
          <w:u w:val="single"/>
        </w:rPr>
        <w:t xml:space="preserve"> </w:t>
      </w:r>
      <w:r w:rsidRPr="00DE17E3">
        <w:rPr>
          <w:rFonts w:cs="Arial"/>
          <w:szCs w:val="20"/>
        </w:rPr>
        <w:t>smlouvy.</w:t>
      </w:r>
      <w:bookmarkEnd w:id="21"/>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2" w:name="_Hlk519675092"/>
      <w:bookmarkStart w:id="23"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2"/>
    <w:bookmarkEnd w:id="23"/>
    <w:p w14:paraId="536BBF84" w14:textId="6901CF27"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79029B">
        <w:rPr>
          <w:szCs w:val="20"/>
        </w:rPr>
        <w:t>a</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číslem již jednou dodaného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0574F4AC" w:rsidR="00D806D6" w:rsidRPr="00513100" w:rsidRDefault="00D806D6" w:rsidP="00D806D6">
      <w:pPr>
        <w:pStyle w:val="Zkladntext"/>
        <w:numPr>
          <w:ilvl w:val="0"/>
          <w:numId w:val="4"/>
        </w:numPr>
        <w:spacing w:line="280" w:lineRule="atLeast"/>
        <w:jc w:val="both"/>
        <w:rPr>
          <w:rFonts w:ascii="Arial" w:hAnsi="Arial"/>
          <w:color w:val="auto"/>
          <w:sz w:val="20"/>
        </w:rPr>
      </w:pPr>
      <w:bookmarkStart w:id="24"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r w:rsidR="006D7441">
        <w:rPr>
          <w:rFonts w:ascii="Arial" w:hAnsi="Arial"/>
          <w:color w:val="auto"/>
          <w:sz w:val="20"/>
          <w:u w:val="single"/>
        </w:rPr>
        <w:t>2</w:t>
      </w:r>
      <w:r w:rsidR="0079029B">
        <w:rPr>
          <w:rFonts w:ascii="Arial" w:hAnsi="Arial"/>
          <w:color w:val="auto"/>
          <w:sz w:val="20"/>
          <w:u w:val="single"/>
        </w:rPr>
        <w:t>a</w:t>
      </w:r>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4"/>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6"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7" w:name="_Hlk517700389"/>
      <w:r w:rsidR="00860FFB" w:rsidRPr="00513100">
        <w:rPr>
          <w:rFonts w:ascii="Arial" w:hAnsi="Arial" w:cs="Arial"/>
          <w:color w:val="auto"/>
          <w:sz w:val="20"/>
        </w:rPr>
        <w:t xml:space="preserve">Pro vyloučení všech pochyb kupující uvádí, že </w:t>
      </w:r>
      <w:bookmarkStart w:id="28"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8"/>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5"/>
      <w:bookmarkEnd w:id="26"/>
      <w:bookmarkEnd w:id="27"/>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vyhl.</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625DDA18" w:rsidR="0084484E" w:rsidRPr="00513100" w:rsidRDefault="002D3264" w:rsidP="00530C08">
      <w:pPr>
        <w:numPr>
          <w:ilvl w:val="0"/>
          <w:numId w:val="4"/>
        </w:numPr>
        <w:spacing w:beforeLines="50" w:before="120" w:after="120" w:line="280" w:lineRule="atLeast"/>
        <w:jc w:val="both"/>
        <w:rPr>
          <w:rFonts w:cs="Arial"/>
          <w:szCs w:val="20"/>
        </w:rPr>
      </w:pPr>
      <w:bookmarkStart w:id="29" w:name="_Hlk519146287"/>
      <w:r w:rsidRPr="002D3264">
        <w:rPr>
          <w:rFonts w:cs="Arial"/>
          <w:szCs w:val="20"/>
        </w:rPr>
        <w:t>Kupující si dále vyhrazuje právo vrátit zboží vykazující vady, které se vyskytnou při běžném provozu, a je již namontováno u zákazníka (na odběrném místě) a to i v situaci, že při kontrole kvality v rámci přejímky definované v příloze 2</w:t>
      </w:r>
      <w:r w:rsidR="003F4ADF">
        <w:rPr>
          <w:rFonts w:cs="Arial"/>
          <w:szCs w:val="20"/>
        </w:rPr>
        <w:t>a</w:t>
      </w:r>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30" w:name="_Hlk519146300"/>
      <w:bookmarkEnd w:id="29"/>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1" w:name="_Hlk510100359"/>
      <w:bookmarkEnd w:id="30"/>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1"/>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72DB145E"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79029B">
        <w:rPr>
          <w:rFonts w:ascii="Arial" w:hAnsi="Arial" w:cs="Arial"/>
          <w:color w:val="auto"/>
          <w:sz w:val="20"/>
        </w:rPr>
        <w:t>a</w:t>
      </w:r>
      <w:r w:rsidRPr="007E33FA">
        <w:rPr>
          <w:rFonts w:ascii="Arial" w:hAnsi="Arial" w:cs="Arial"/>
          <w:color w:val="auto"/>
          <w:sz w:val="20"/>
        </w:rPr>
        <w:t xml:space="preserve"> smlouvy (tj. nedodá–li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li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r w:rsidR="00BD451C" w:rsidRPr="006B6D0F">
        <w:rPr>
          <w:rFonts w:ascii="Arial" w:hAnsi="Arial" w:cs="Arial"/>
          <w:color w:val="auto"/>
          <w:sz w:val="20"/>
        </w:rPr>
        <w:t>2</w:t>
      </w:r>
      <w:r w:rsidRPr="006B6D0F">
        <w:rPr>
          <w:rFonts w:ascii="Arial" w:hAnsi="Arial" w:cs="Arial"/>
          <w:color w:val="auto"/>
          <w:sz w:val="20"/>
        </w:rPr>
        <w:t>0.000,-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smluvní pokutu ve výši 50.000,-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2"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zavazuje se vybraný prodávající zaplatit smluvní pokutu ve výši 10.000,-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2"/>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je kupující oprávněn požadovat po prodávajícím smluvní pokutu ve výši 20</w:t>
      </w:r>
      <w:r w:rsidR="00C94F9A">
        <w:rPr>
          <w:rFonts w:ascii="Arial" w:hAnsi="Arial" w:cs="Arial"/>
          <w:color w:val="auto"/>
          <w:sz w:val="20"/>
        </w:rPr>
        <w:t>.000,-</w:t>
      </w:r>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77777777"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2F40A8" w:rsidRPr="00073EE2">
        <w:rPr>
          <w:rFonts w:cs="Arial"/>
          <w:szCs w:val="20"/>
        </w:rPr>
        <w:t xml:space="preserve">5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Nepředloží-li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3"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4" w:name="_Hlk110423700"/>
      <w:r>
        <w:t>U</w:t>
      </w:r>
      <w:r w:rsidRPr="003C05AE">
        <w:t xml:space="preserve"> každého použitého materiálu i výrobku jako celku</w:t>
      </w:r>
      <w:r>
        <w:t xml:space="preserve"> uvést </w:t>
      </w:r>
      <w:r w:rsidRPr="003C05AE">
        <w:t>jeho zařazení podle Katalogu odpadů</w:t>
      </w:r>
      <w:r>
        <w:t>.</w:t>
      </w:r>
      <w:bookmarkEnd w:id="34"/>
      <w:r>
        <w:t xml:space="preserve"> (Tento bod nemusí být splněn v případě, že se jedná o dodání pouze vybraných výrobků ve smyslu zákona č. 542/2020 Sb.), *</w:t>
      </w:r>
    </w:p>
    <w:p w14:paraId="211ECB45" w14:textId="6EE18216" w:rsidR="005E4B37" w:rsidRDefault="005E4B37" w:rsidP="00EF185F">
      <w:pPr>
        <w:spacing w:line="276" w:lineRule="auto"/>
        <w:ind w:left="352" w:firstLine="708"/>
        <w:jc w:val="both"/>
      </w:pPr>
      <w:r>
        <w:t>* Lze</w:t>
      </w:r>
      <w:r w:rsidRPr="00B25CC2">
        <w:t xml:space="preserve"> využít vzorový formulář, který tvoří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4584B9EA"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3F4ADF">
        <w:rPr>
          <w:rFonts w:cs="Arial"/>
          <w:szCs w:val="20"/>
          <w:u w:val="single"/>
        </w:rPr>
        <w:t>a</w:t>
      </w:r>
      <w:r w:rsidR="00CC5382" w:rsidRPr="00513100">
        <w:rPr>
          <w:rFonts w:cs="Arial"/>
          <w:szCs w:val="20"/>
        </w:rPr>
        <w:t xml:space="preserve"> smlouvy</w:t>
      </w:r>
      <w:bookmarkEnd w:id="33"/>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obdrží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5"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5"/>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skončí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prodávající nepředloží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6"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6"/>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skončí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ust. § 100 odst. 2 ZZVZ ve spojení s ust.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Intrastatu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7"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8"/>
    <w:bookmarkEnd w:id="37"/>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tvoří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9"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9"/>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elektronicky. Každá smluvní strana obdrží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Smluvní strany vylučují aplikaci následujících ustanovení občanského zákoníku na tuto smlouvu: § 557, § 1793 – 1795,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56573AC9" w14:textId="77777777" w:rsidR="00171E2E" w:rsidRPr="00641DAB" w:rsidRDefault="00327D7B" w:rsidP="00060B31">
      <w:pPr>
        <w:spacing w:line="280" w:lineRule="atLeast"/>
        <w:ind w:left="360"/>
        <w:jc w:val="both"/>
        <w:rPr>
          <w:rFonts w:cs="Arial"/>
          <w:szCs w:val="20"/>
        </w:rPr>
      </w:pPr>
      <w:r w:rsidRPr="00641DAB">
        <w:rPr>
          <w:rFonts w:cs="Arial"/>
          <w:szCs w:val="20"/>
          <w:u w:val="single"/>
        </w:rPr>
        <w:t>Příloha 2</w:t>
      </w:r>
      <w:r w:rsidR="00B77E24" w:rsidRPr="00641DAB">
        <w:rPr>
          <w:rFonts w:cs="Arial"/>
          <w:szCs w:val="20"/>
          <w:u w:val="single"/>
        </w:rPr>
        <w:t>a</w:t>
      </w:r>
      <w:r w:rsidRPr="00641DAB">
        <w:rPr>
          <w:rFonts w:cs="Arial"/>
          <w:szCs w:val="20"/>
        </w:rPr>
        <w:t xml:space="preserve"> – </w:t>
      </w:r>
      <w:r w:rsidR="00FA050E" w:rsidRPr="00641DAB">
        <w:rPr>
          <w:rFonts w:cs="Arial"/>
          <w:szCs w:val="20"/>
        </w:rPr>
        <w:t xml:space="preserve">Technická specifikace </w:t>
      </w:r>
      <w:r w:rsidR="00B77E24" w:rsidRPr="00641DAB">
        <w:rPr>
          <w:rFonts w:cs="Arial"/>
          <w:szCs w:val="20"/>
        </w:rPr>
        <w:t>předmětu plnění</w:t>
      </w:r>
      <w:r w:rsidR="00171E2E" w:rsidRPr="00641DAB">
        <w:rPr>
          <w:rFonts w:cs="Arial"/>
          <w:szCs w:val="20"/>
        </w:rPr>
        <w:t>;</w:t>
      </w:r>
    </w:p>
    <w:p w14:paraId="5AB0635F" w14:textId="6211455C" w:rsidR="00202A4B" w:rsidRPr="00641DAB" w:rsidRDefault="00171E2E" w:rsidP="00060B31">
      <w:pPr>
        <w:spacing w:line="280" w:lineRule="atLeast"/>
        <w:ind w:left="360"/>
        <w:jc w:val="both"/>
        <w:rPr>
          <w:rFonts w:cs="Arial"/>
          <w:szCs w:val="20"/>
        </w:rPr>
      </w:pPr>
      <w:r w:rsidRPr="00641DAB">
        <w:rPr>
          <w:rFonts w:cs="Arial"/>
          <w:szCs w:val="20"/>
          <w:u w:val="single"/>
        </w:rPr>
        <w:t xml:space="preserve">Příloha </w:t>
      </w:r>
      <w:r w:rsidR="00FA050E" w:rsidRPr="00641DAB">
        <w:rPr>
          <w:rFonts w:cs="Arial"/>
          <w:szCs w:val="20"/>
        </w:rPr>
        <w:t>2</w:t>
      </w:r>
      <w:r w:rsidR="0018235B" w:rsidRPr="00641DAB">
        <w:rPr>
          <w:rFonts w:cs="Arial"/>
          <w:szCs w:val="20"/>
        </w:rPr>
        <w:t>d</w:t>
      </w:r>
      <w:r w:rsidR="00FA050E" w:rsidRPr="00641DAB">
        <w:rPr>
          <w:rFonts w:cs="Arial"/>
          <w:szCs w:val="20"/>
        </w:rPr>
        <w:t xml:space="preserve"> Technická specifikace pro komunikační moduly;</w:t>
      </w:r>
    </w:p>
    <w:p w14:paraId="3BE12C72" w14:textId="70AC8704" w:rsidR="0099194D" w:rsidRDefault="007F0E73" w:rsidP="00060B31">
      <w:pPr>
        <w:spacing w:line="280" w:lineRule="atLeast"/>
        <w:ind w:left="360"/>
        <w:jc w:val="both"/>
        <w:rPr>
          <w:rFonts w:cs="Arial"/>
          <w:szCs w:val="20"/>
        </w:rPr>
      </w:pPr>
      <w:r w:rsidRPr="00641DAB">
        <w:rPr>
          <w:rFonts w:cs="Arial"/>
          <w:szCs w:val="20"/>
          <w:u w:val="single"/>
        </w:rPr>
        <w:t>Příloha 3a_</w:t>
      </w:r>
      <w:r w:rsidR="00D3785D" w:rsidRPr="00641DAB">
        <w:rPr>
          <w:rFonts w:cs="Arial"/>
          <w:szCs w:val="20"/>
          <w:u w:val="single"/>
        </w:rPr>
        <w:t xml:space="preserve"> Technick</w:t>
      </w:r>
      <w:r w:rsidR="00676D69" w:rsidRPr="00641DAB">
        <w:rPr>
          <w:rFonts w:cs="Arial"/>
          <w:szCs w:val="20"/>
          <w:u w:val="single"/>
        </w:rPr>
        <w:t>é parametry uváděné účastníkem</w:t>
      </w:r>
      <w:r w:rsidR="00E23F17" w:rsidRPr="00641DAB">
        <w:rPr>
          <w:rFonts w:cs="Arial"/>
          <w:szCs w:val="20"/>
        </w:rPr>
        <w:t>;</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Pr>
          <w:rFonts w:eastAsia="Calibri" w:cs="Arial"/>
          <w:szCs w:val="20"/>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40" w:name="_Hlk529280538"/>
      <w:r w:rsidR="00CF6FD9" w:rsidRPr="00942998">
        <w:rPr>
          <w:rFonts w:eastAsia="Calibri"/>
        </w:rPr>
        <w:t>EU p</w:t>
      </w:r>
      <w:r w:rsidR="00CF6FD9" w:rsidRPr="00942998">
        <w:rPr>
          <w:rFonts w:cs="Arial"/>
          <w:szCs w:val="20"/>
        </w:rPr>
        <w:t>rohlášení o shodě</w:t>
      </w:r>
      <w:bookmarkEnd w:id="40"/>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1"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1"/>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2"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2"/>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3"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3"/>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4" w:name="_Hlk114648194"/>
      <w:r w:rsidRPr="009238C8">
        <w:rPr>
          <w:rStyle w:val="platne1"/>
          <w:rFonts w:cs="Arial"/>
          <w:b/>
          <w:szCs w:val="20"/>
          <w:highlight w:val="yellow"/>
        </w:rPr>
        <w:t>doplní prodávající</w:t>
      </w:r>
      <w:bookmarkEnd w:id="44"/>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3067" w14:textId="77777777" w:rsidR="007E3187" w:rsidRDefault="007E3187" w:rsidP="00E25C9A">
      <w:r>
        <w:separator/>
      </w:r>
    </w:p>
  </w:endnote>
  <w:endnote w:type="continuationSeparator" w:id="0">
    <w:p w14:paraId="0B70FF75" w14:textId="77777777" w:rsidR="007E3187" w:rsidRDefault="007E3187" w:rsidP="00E25C9A">
      <w:r>
        <w:continuationSeparator/>
      </w:r>
    </w:p>
  </w:endnote>
  <w:endnote w:type="continuationNotice" w:id="1">
    <w:p w14:paraId="1B8C0D9E" w14:textId="77777777" w:rsidR="007E3187" w:rsidRDefault="007E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5746" w14:textId="77777777" w:rsidR="007E3187" w:rsidRDefault="007E3187" w:rsidP="00E25C9A">
      <w:r>
        <w:separator/>
      </w:r>
    </w:p>
  </w:footnote>
  <w:footnote w:type="continuationSeparator" w:id="0">
    <w:p w14:paraId="551B0441" w14:textId="77777777" w:rsidR="007E3187" w:rsidRDefault="007E3187" w:rsidP="00E25C9A">
      <w:r>
        <w:continuationSeparator/>
      </w:r>
    </w:p>
  </w:footnote>
  <w:footnote w:type="continuationNotice" w:id="1">
    <w:p w14:paraId="0CA7F5A9" w14:textId="77777777" w:rsidR="007E3187" w:rsidRDefault="007E3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5"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5"/>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13"/>
  </w:num>
  <w:num w:numId="3">
    <w:abstractNumId w:val="10"/>
  </w:num>
  <w:num w:numId="4">
    <w:abstractNumId w:val="27"/>
  </w:num>
  <w:num w:numId="5">
    <w:abstractNumId w:val="5"/>
  </w:num>
  <w:num w:numId="6">
    <w:abstractNumId w:val="21"/>
  </w:num>
  <w:num w:numId="7">
    <w:abstractNumId w:val="35"/>
  </w:num>
  <w:num w:numId="8">
    <w:abstractNumId w:val="20"/>
  </w:num>
  <w:num w:numId="9">
    <w:abstractNumId w:val="11"/>
  </w:num>
  <w:num w:numId="10">
    <w:abstractNumId w:val="29"/>
  </w:num>
  <w:num w:numId="11">
    <w:abstractNumId w:val="16"/>
  </w:num>
  <w:num w:numId="12">
    <w:abstractNumId w:val="18"/>
  </w:num>
  <w:num w:numId="13">
    <w:abstractNumId w:val="3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8"/>
  </w:num>
  <w:num w:numId="22">
    <w:abstractNumId w:val="28"/>
  </w:num>
  <w:num w:numId="23">
    <w:abstractNumId w:val="7"/>
  </w:num>
  <w:num w:numId="24">
    <w:abstractNumId w:val="17"/>
  </w:num>
  <w:num w:numId="25">
    <w:abstractNumId w:val="19"/>
  </w:num>
  <w:num w:numId="26">
    <w:abstractNumId w:val="31"/>
  </w:num>
  <w:num w:numId="27">
    <w:abstractNumId w:val="12"/>
  </w:num>
  <w:num w:numId="28">
    <w:abstractNumId w:val="30"/>
  </w:num>
  <w:num w:numId="29">
    <w:abstractNumId w:val="6"/>
  </w:num>
  <w:num w:numId="30">
    <w:abstractNumId w:val="34"/>
  </w:num>
  <w:num w:numId="31">
    <w:abstractNumId w:val="25"/>
  </w:num>
  <w:num w:numId="32">
    <w:abstractNumId w:val="14"/>
  </w:num>
  <w:num w:numId="33">
    <w:abstractNumId w:val="3"/>
  </w:num>
  <w:num w:numId="34">
    <w:abstractNumId w:val="9"/>
  </w:num>
  <w:num w:numId="35">
    <w:abstractNumId w:val="4"/>
  </w:num>
  <w:num w:numId="36">
    <w:abstractNumId w:val="15"/>
  </w:num>
  <w:num w:numId="37">
    <w:abstractNumId w:val="2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4ADF"/>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1D3D"/>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51BB"/>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29B"/>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7B49"/>
    <w:rsid w:val="00847E5B"/>
    <w:rsid w:val="00850214"/>
    <w:rsid w:val="00850574"/>
    <w:rsid w:val="008507E3"/>
    <w:rsid w:val="00850C81"/>
    <w:rsid w:val="00851512"/>
    <w:rsid w:val="00851713"/>
    <w:rsid w:val="00851BA8"/>
    <w:rsid w:val="0085263A"/>
    <w:rsid w:val="00852CF7"/>
    <w:rsid w:val="00853FCD"/>
    <w:rsid w:val="00854B5F"/>
    <w:rsid w:val="0085614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EA1"/>
    <w:rsid w:val="009A435E"/>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0D1A"/>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165"/>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1DA8"/>
    <w:rsid w:val="00E624A1"/>
    <w:rsid w:val="00E62F7E"/>
    <w:rsid w:val="00E6371C"/>
    <w:rsid w:val="00E63EE3"/>
    <w:rsid w:val="00E63F5D"/>
    <w:rsid w:val="00E643FD"/>
    <w:rsid w:val="00E654AB"/>
    <w:rsid w:val="00E656E5"/>
    <w:rsid w:val="00E6645D"/>
    <w:rsid w:val="00E67451"/>
    <w:rsid w:val="00E676E4"/>
    <w:rsid w:val="00E70636"/>
    <w:rsid w:val="00E70B3C"/>
    <w:rsid w:val="00E71788"/>
    <w:rsid w:val="00E7197E"/>
    <w:rsid w:val="00E71995"/>
    <w:rsid w:val="00E722AB"/>
    <w:rsid w:val="00E73A03"/>
    <w:rsid w:val="00E74677"/>
    <w:rsid w:val="00E74EAA"/>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926</TotalTime>
  <Pages>21</Pages>
  <Words>9750</Words>
  <Characters>57295</Characters>
  <Application>Microsoft Office Word</Application>
  <DocSecurity>0</DocSecurity>
  <Lines>477</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2018-03-27T10:33:00Z</cp:lastPrinted>
  <dcterms:created xsi:type="dcterms:W3CDTF">2022-06-13T03:36:00Z</dcterms:created>
  <dcterms:modified xsi:type="dcterms:W3CDTF">2022-11-16T07:41:00Z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